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60364" w14:textId="77777777" w:rsidR="00752A0E" w:rsidRDefault="0054376B" w:rsidP="00752A0E">
      <w:pPr>
        <w:spacing w:after="0" w:line="240" w:lineRule="auto"/>
        <w:jc w:val="center"/>
        <w:rPr>
          <w:rFonts w:cs="Calibri"/>
          <w:b/>
          <w:bCs/>
          <w:u w:val="single"/>
          <w:lang w:val="el-GR"/>
        </w:rPr>
      </w:pPr>
      <w:r>
        <w:rPr>
          <w:rFonts w:cs="Calibri"/>
          <w:b/>
          <w:bCs/>
          <w:u w:val="single"/>
          <w:lang w:val="el-GR"/>
        </w:rPr>
        <w:t>Δ</w:t>
      </w:r>
      <w:r w:rsidR="00752A0E">
        <w:rPr>
          <w:rFonts w:cs="Calibri"/>
          <w:b/>
          <w:bCs/>
          <w:u w:val="single"/>
          <w:lang w:val="el-GR"/>
        </w:rPr>
        <w:t>ΕΛΤΙΟ</w:t>
      </w:r>
    </w:p>
    <w:p w14:paraId="716CEF30" w14:textId="77777777" w:rsidR="00002B1B" w:rsidRDefault="00002B1B" w:rsidP="00752A0E">
      <w:pPr>
        <w:spacing w:after="0" w:line="240" w:lineRule="auto"/>
        <w:jc w:val="center"/>
        <w:rPr>
          <w:rFonts w:cs="Calibri"/>
          <w:b/>
          <w:bCs/>
          <w:u w:val="single"/>
          <w:lang w:val="el-GR"/>
        </w:rPr>
      </w:pPr>
      <w:r w:rsidRPr="002830B2">
        <w:rPr>
          <w:rFonts w:cs="Calibri"/>
          <w:b/>
          <w:bCs/>
          <w:u w:val="single"/>
          <w:lang w:val="el-GR"/>
        </w:rPr>
        <w:t>ΕΙΔΟΠΟΙΗΣΗ</w:t>
      </w:r>
      <w:r w:rsidR="00752A0E">
        <w:rPr>
          <w:rFonts w:cs="Calibri"/>
          <w:b/>
          <w:bCs/>
          <w:u w:val="single"/>
          <w:lang w:val="el-GR"/>
        </w:rPr>
        <w:t xml:space="preserve"> ΗΛΕΚΤΡΟΝΙΚΟΥ</w:t>
      </w:r>
      <w:r w:rsidRPr="002830B2">
        <w:rPr>
          <w:rFonts w:cs="Calibri"/>
          <w:b/>
          <w:bCs/>
          <w:u w:val="single"/>
          <w:lang w:val="el-GR"/>
        </w:rPr>
        <w:t xml:space="preserve"> ΠΛΕΙΣΤΗΡΙΑΣΜΟΥ</w:t>
      </w:r>
    </w:p>
    <w:p w14:paraId="7B20F8CC" w14:textId="77777777" w:rsidR="00752A0E" w:rsidRPr="002830B2" w:rsidRDefault="00752A0E" w:rsidP="00752A0E">
      <w:pPr>
        <w:spacing w:after="0" w:line="240" w:lineRule="auto"/>
        <w:jc w:val="center"/>
        <w:rPr>
          <w:rFonts w:cs="Calibri"/>
          <w:u w:val="single"/>
          <w:lang w:val="el-GR"/>
        </w:rPr>
      </w:pPr>
    </w:p>
    <w:p w14:paraId="3AF5ADC2" w14:textId="77777777" w:rsidR="00002B1B" w:rsidRPr="00752A0E" w:rsidRDefault="00752A0E" w:rsidP="00975C9A">
      <w:pPr>
        <w:jc w:val="center"/>
        <w:rPr>
          <w:rFonts w:cs="Calibri"/>
          <w:sz w:val="20"/>
          <w:szCs w:val="20"/>
          <w:u w:val="single"/>
          <w:lang w:val="el-GR"/>
        </w:rPr>
      </w:pPr>
      <w:r w:rsidRPr="00752A0E">
        <w:rPr>
          <w:rFonts w:cs="Calibri"/>
          <w:b/>
          <w:bCs/>
          <w:sz w:val="20"/>
          <w:szCs w:val="20"/>
          <w:u w:val="single"/>
          <w:lang w:val="el-GR"/>
        </w:rPr>
        <w:t>Δυνάμει του περί Πώλησης Ενυπόθηκου Ακινήτου μέσω Ηλεκτρονικού Συστήματος Πλειστηριασμού Διατάγματος του 2019</w:t>
      </w:r>
    </w:p>
    <w:p w14:paraId="7E17CADB" w14:textId="10F3938C" w:rsidR="00752A0E" w:rsidRDefault="00002B1B" w:rsidP="0087447E">
      <w:pPr>
        <w:jc w:val="both"/>
        <w:rPr>
          <w:rFonts w:cs="Calibri"/>
          <w:b/>
          <w:lang w:val="el-GR"/>
        </w:rPr>
      </w:pPr>
      <w:r w:rsidRPr="002830B2">
        <w:rPr>
          <w:rFonts w:cs="Calibri"/>
          <w:lang w:val="el-GR"/>
        </w:rPr>
        <w:t xml:space="preserve">ΑΝΑΚΟΙΝΩΝΕΤΑΙ ότι σύμφωνα με το </w:t>
      </w:r>
      <w:r w:rsidR="00752A0E">
        <w:rPr>
          <w:rFonts w:cs="Calibri"/>
          <w:lang w:val="el-GR"/>
        </w:rPr>
        <w:t>περί Πωλήσεως Ενυπόθηκου Ακινήτου μέσω Ηλεκτρονικού Συστήματος Πλειστηριασμού Διάταγμα του 2019, το οποίο εκδόθηκε δυνάμει των διατάξεων του περί Μεταβιβάσεως και Υποθηκεύσεως Ακινήτων Νόμου, θα πωληθεί σε ηλεκτρονικό πλειστ</w:t>
      </w:r>
      <w:r w:rsidR="00402ABF">
        <w:rPr>
          <w:rFonts w:cs="Calibri"/>
          <w:lang w:val="el-GR"/>
        </w:rPr>
        <w:t>ηριασμό μετά από αίτηση της Συνεργατικής</w:t>
      </w:r>
      <w:r w:rsidR="00752A0E">
        <w:rPr>
          <w:rFonts w:cs="Calibri"/>
          <w:lang w:val="el-GR"/>
        </w:rPr>
        <w:t xml:space="preserve"> </w:t>
      </w:r>
      <w:r w:rsidR="00402ABF">
        <w:rPr>
          <w:rFonts w:cs="Calibri"/>
          <w:lang w:val="el-GR"/>
        </w:rPr>
        <w:t xml:space="preserve">Εταιρείας Διαχείρισης Περιουσιακών Στοιχείων Λτδ (πρώην Συνεργατική Κυπριακή Τράπεζα Λτδ), </w:t>
      </w:r>
      <w:r w:rsidR="00752A0E">
        <w:rPr>
          <w:rFonts w:cs="Calibri"/>
          <w:lang w:val="el-GR"/>
        </w:rPr>
        <w:t xml:space="preserve"> η ακίνητη ιδιοκτησία που περιγράφεται στον πιο  κάτω Πίνακα από τον Υπάλληλο Ηλεκτρονικού Πλειστηριασμού ή τον εργοδότη αυτού </w:t>
      </w:r>
      <w:r w:rsidR="00752A0E" w:rsidRPr="00C102C9">
        <w:rPr>
          <w:rFonts w:cs="Calibri"/>
          <w:b/>
        </w:rPr>
        <w:t>ACB</w:t>
      </w:r>
      <w:r w:rsidR="00752A0E" w:rsidRPr="00C102C9">
        <w:rPr>
          <w:rFonts w:cs="Calibri"/>
          <w:b/>
          <w:lang w:val="el-GR"/>
        </w:rPr>
        <w:t xml:space="preserve"> </w:t>
      </w:r>
      <w:r w:rsidR="00752A0E" w:rsidRPr="00C102C9">
        <w:rPr>
          <w:rFonts w:cs="Calibri"/>
          <w:b/>
        </w:rPr>
        <w:t>E</w:t>
      </w:r>
      <w:r w:rsidR="00752A0E" w:rsidRPr="00C102C9">
        <w:rPr>
          <w:rFonts w:cs="Calibri"/>
          <w:b/>
          <w:lang w:val="el-GR"/>
        </w:rPr>
        <w:t>-</w:t>
      </w:r>
      <w:r w:rsidR="004875BA" w:rsidRPr="00C102C9">
        <w:rPr>
          <w:rFonts w:cs="Calibri"/>
          <w:b/>
        </w:rPr>
        <w:t>Auctions</w:t>
      </w:r>
      <w:r w:rsidR="004875BA" w:rsidRPr="00C102C9">
        <w:rPr>
          <w:rFonts w:cs="Calibri"/>
          <w:b/>
          <w:lang w:val="el-GR"/>
        </w:rPr>
        <w:t xml:space="preserve"> </w:t>
      </w:r>
      <w:r w:rsidR="004875BA" w:rsidRPr="00C102C9">
        <w:rPr>
          <w:rFonts w:cs="Calibri"/>
          <w:b/>
        </w:rPr>
        <w:t>Ltd</w:t>
      </w:r>
      <w:r w:rsidRPr="00C102C9">
        <w:rPr>
          <w:rFonts w:cs="Calibri"/>
          <w:b/>
          <w:lang w:val="el-GR"/>
        </w:rPr>
        <w:t>,</w:t>
      </w:r>
      <w:r w:rsidRPr="00FD2299">
        <w:rPr>
          <w:rFonts w:cs="Calibri"/>
          <w:b/>
          <w:lang w:val="el-GR"/>
        </w:rPr>
        <w:t xml:space="preserve"> αρ. τηλ. </w:t>
      </w:r>
      <w:r w:rsidR="003667AB" w:rsidRPr="003667AB">
        <w:rPr>
          <w:rFonts w:cs="Calibri"/>
          <w:b/>
          <w:noProof/>
          <w:lang w:val="el-GR"/>
        </w:rPr>
        <w:t>22364617</w:t>
      </w:r>
      <w:r w:rsidR="00752A0E" w:rsidRPr="00752A0E">
        <w:rPr>
          <w:rFonts w:cs="Calibri"/>
          <w:b/>
          <w:lang w:val="el-GR"/>
        </w:rPr>
        <w:t xml:space="preserve">, </w:t>
      </w:r>
      <w:r w:rsidR="00752A0E">
        <w:rPr>
          <w:rFonts w:cs="Calibri"/>
          <w:b/>
          <w:lang w:val="el-GR"/>
        </w:rPr>
        <w:t xml:space="preserve">ηλεκτρονική διεύθυνση </w:t>
      </w:r>
      <w:r w:rsidR="003667AB">
        <w:rPr>
          <w:rFonts w:ascii="Arial" w:hAnsi="Arial" w:cs="Arial"/>
          <w:color w:val="003366"/>
          <w:sz w:val="20"/>
          <w:szCs w:val="20"/>
          <w:shd w:val="clear" w:color="auto" w:fill="ECEDEF"/>
        </w:rPr>
        <w:t>info</w:t>
      </w:r>
      <w:r w:rsidR="003667AB" w:rsidRPr="003667AB">
        <w:rPr>
          <w:rFonts w:ascii="Arial" w:hAnsi="Arial" w:cs="Arial"/>
          <w:color w:val="003366"/>
          <w:sz w:val="20"/>
          <w:szCs w:val="20"/>
          <w:shd w:val="clear" w:color="auto" w:fill="ECEDEF"/>
          <w:lang w:val="el-GR"/>
        </w:rPr>
        <w:t>@</w:t>
      </w:r>
      <w:r w:rsidR="003667AB">
        <w:rPr>
          <w:rFonts w:ascii="Arial" w:hAnsi="Arial" w:cs="Arial"/>
          <w:color w:val="003366"/>
          <w:sz w:val="20"/>
          <w:szCs w:val="20"/>
          <w:shd w:val="clear" w:color="auto" w:fill="ECEDEF"/>
        </w:rPr>
        <w:t>eauctions</w:t>
      </w:r>
      <w:r w:rsidR="003667AB" w:rsidRPr="003667AB">
        <w:rPr>
          <w:rFonts w:ascii="Arial" w:hAnsi="Arial" w:cs="Arial"/>
          <w:color w:val="003366"/>
          <w:sz w:val="20"/>
          <w:szCs w:val="20"/>
          <w:shd w:val="clear" w:color="auto" w:fill="ECEDEF"/>
          <w:lang w:val="el-GR"/>
        </w:rPr>
        <w:t>-</w:t>
      </w:r>
      <w:r w:rsidR="003667AB">
        <w:rPr>
          <w:rFonts w:ascii="Arial" w:hAnsi="Arial" w:cs="Arial"/>
          <w:color w:val="003366"/>
          <w:sz w:val="20"/>
          <w:szCs w:val="20"/>
          <w:shd w:val="clear" w:color="auto" w:fill="ECEDEF"/>
        </w:rPr>
        <w:t>cy</w:t>
      </w:r>
      <w:r w:rsidR="003667AB" w:rsidRPr="003667AB">
        <w:rPr>
          <w:rFonts w:ascii="Arial" w:hAnsi="Arial" w:cs="Arial"/>
          <w:color w:val="003366"/>
          <w:sz w:val="20"/>
          <w:szCs w:val="20"/>
          <w:shd w:val="clear" w:color="auto" w:fill="ECEDEF"/>
          <w:lang w:val="el-GR"/>
        </w:rPr>
        <w:t>.</w:t>
      </w:r>
      <w:r w:rsidR="003667AB">
        <w:rPr>
          <w:rFonts w:ascii="Arial" w:hAnsi="Arial" w:cs="Arial"/>
          <w:color w:val="003366"/>
          <w:sz w:val="20"/>
          <w:szCs w:val="20"/>
          <w:shd w:val="clear" w:color="auto" w:fill="ECEDEF"/>
        </w:rPr>
        <w:t>com</w:t>
      </w:r>
    </w:p>
    <w:p w14:paraId="71CE3C86" w14:textId="05C56B9B" w:rsidR="00002B1B" w:rsidRPr="00FC0D0F" w:rsidRDefault="00002B1B" w:rsidP="0087447E">
      <w:pPr>
        <w:jc w:val="both"/>
        <w:rPr>
          <w:rFonts w:cs="Calibri"/>
          <w:b/>
          <w:noProof/>
          <w:lang w:val="el-GR"/>
        </w:rPr>
      </w:pPr>
      <w:r w:rsidRPr="00FD2299">
        <w:rPr>
          <w:rFonts w:cs="Calibri"/>
          <w:lang w:val="el-GR"/>
        </w:rPr>
        <w:t>Η πώληση θα διεξαχθεί</w:t>
      </w:r>
      <w:r w:rsidR="008E7609" w:rsidRPr="00FD2299">
        <w:rPr>
          <w:rFonts w:cs="Calibri"/>
          <w:noProof/>
          <w:lang w:val="el-GR"/>
        </w:rPr>
        <w:t xml:space="preserve"> </w:t>
      </w:r>
      <w:r w:rsidR="00752A0E">
        <w:rPr>
          <w:rFonts w:asciiTheme="minorHAnsi" w:hAnsiTheme="minorHAnsi" w:cstheme="minorHAnsi"/>
          <w:noProof/>
          <w:lang w:val="el-GR"/>
        </w:rPr>
        <w:t xml:space="preserve">μέσω </w:t>
      </w:r>
      <w:r w:rsidR="00752A0E" w:rsidRPr="00752A0E">
        <w:rPr>
          <w:rFonts w:asciiTheme="minorHAnsi" w:hAnsiTheme="minorHAnsi" w:cstheme="minorHAnsi"/>
          <w:b/>
          <w:noProof/>
          <w:lang w:val="el-GR"/>
        </w:rPr>
        <w:t xml:space="preserve">Ηλεκτρονικού Συστήματος Πλειστηριασμού στην Ιστοσελίδα Ηλεκτρονικού Πλειστηριασμού </w:t>
      </w:r>
      <w:hyperlink r:id="rId8" w:history="1">
        <w:r w:rsidR="002B110F" w:rsidRPr="002B110F">
          <w:rPr>
            <w:rStyle w:val="Hyperlink"/>
            <w:rFonts w:asciiTheme="minorHAnsi" w:hAnsiTheme="minorHAnsi" w:cstheme="minorHAnsi"/>
            <w:b/>
            <w:bCs/>
            <w:noProof/>
          </w:rPr>
          <w:t>www</w:t>
        </w:r>
        <w:r w:rsidR="002B110F" w:rsidRPr="002B110F">
          <w:rPr>
            <w:rStyle w:val="Hyperlink"/>
            <w:rFonts w:asciiTheme="minorHAnsi" w:hAnsiTheme="minorHAnsi" w:cstheme="minorHAnsi"/>
            <w:b/>
            <w:bCs/>
            <w:noProof/>
            <w:lang w:val="el-GR"/>
          </w:rPr>
          <w:t>.</w:t>
        </w:r>
        <w:r w:rsidR="002B110F" w:rsidRPr="002B110F">
          <w:rPr>
            <w:rStyle w:val="Hyperlink"/>
            <w:rFonts w:asciiTheme="minorHAnsi" w:hAnsiTheme="minorHAnsi" w:cstheme="minorHAnsi"/>
            <w:b/>
            <w:bCs/>
            <w:noProof/>
          </w:rPr>
          <w:t>eauction</w:t>
        </w:r>
        <w:r w:rsidR="002B110F" w:rsidRPr="002B110F">
          <w:rPr>
            <w:rStyle w:val="Hyperlink"/>
            <w:rFonts w:asciiTheme="minorHAnsi" w:hAnsiTheme="minorHAnsi" w:cstheme="minorHAnsi"/>
            <w:b/>
            <w:bCs/>
            <w:noProof/>
            <w:lang w:val="el-GR"/>
          </w:rPr>
          <w:t>-</w:t>
        </w:r>
        <w:r w:rsidR="002B110F" w:rsidRPr="002B110F">
          <w:rPr>
            <w:rStyle w:val="Hyperlink"/>
            <w:rFonts w:asciiTheme="minorHAnsi" w:hAnsiTheme="minorHAnsi" w:cstheme="minorHAnsi"/>
            <w:b/>
            <w:bCs/>
            <w:noProof/>
          </w:rPr>
          <w:t>cy</w:t>
        </w:r>
        <w:r w:rsidR="002B110F" w:rsidRPr="002B110F">
          <w:rPr>
            <w:rStyle w:val="Hyperlink"/>
            <w:rFonts w:asciiTheme="minorHAnsi" w:hAnsiTheme="minorHAnsi" w:cstheme="minorHAnsi"/>
            <w:b/>
            <w:bCs/>
            <w:noProof/>
            <w:lang w:val="el-GR"/>
          </w:rPr>
          <w:t>.</w:t>
        </w:r>
        <w:r w:rsidR="002B110F" w:rsidRPr="002B110F">
          <w:rPr>
            <w:rStyle w:val="Hyperlink"/>
            <w:rFonts w:asciiTheme="minorHAnsi" w:hAnsiTheme="minorHAnsi" w:cstheme="minorHAnsi"/>
            <w:b/>
            <w:bCs/>
            <w:noProof/>
          </w:rPr>
          <w:t>com</w:t>
        </w:r>
      </w:hyperlink>
      <w:r w:rsidR="002B110F" w:rsidRPr="002B110F">
        <w:rPr>
          <w:rFonts w:asciiTheme="minorHAnsi" w:hAnsiTheme="minorHAnsi" w:cstheme="minorHAnsi"/>
          <w:b/>
          <w:noProof/>
          <w:lang w:val="el-GR"/>
        </w:rPr>
        <w:t xml:space="preserve"> </w:t>
      </w:r>
      <w:r w:rsidR="00752A0E" w:rsidRPr="00752A0E">
        <w:rPr>
          <w:rFonts w:asciiTheme="minorHAnsi" w:hAnsiTheme="minorHAnsi" w:cstheme="minorHAnsi"/>
          <w:b/>
          <w:noProof/>
          <w:lang w:val="el-GR"/>
        </w:rPr>
        <w:t>στις</w:t>
      </w:r>
      <w:r w:rsidR="00BA23A0" w:rsidRPr="00BA23A0">
        <w:rPr>
          <w:rFonts w:asciiTheme="minorHAnsi" w:hAnsiTheme="minorHAnsi" w:cstheme="minorHAnsi"/>
          <w:b/>
          <w:noProof/>
          <w:lang w:val="el-GR"/>
        </w:rPr>
        <w:t xml:space="preserve"> </w:t>
      </w:r>
      <w:r w:rsidR="00D44035">
        <w:rPr>
          <w:rFonts w:asciiTheme="minorHAnsi" w:hAnsiTheme="minorHAnsi" w:cstheme="minorHAnsi"/>
          <w:b/>
          <w:noProof/>
          <w:lang w:val="el-GR"/>
        </w:rPr>
        <w:t>25</w:t>
      </w:r>
      <w:r w:rsidR="00BA23A0" w:rsidRPr="00BA23A0">
        <w:rPr>
          <w:rFonts w:asciiTheme="minorHAnsi" w:hAnsiTheme="minorHAnsi" w:cstheme="minorHAnsi"/>
          <w:b/>
          <w:noProof/>
          <w:lang w:val="el-GR"/>
        </w:rPr>
        <w:t>/</w:t>
      </w:r>
      <w:r w:rsidR="00E132C1" w:rsidRPr="00E132C1">
        <w:rPr>
          <w:rFonts w:asciiTheme="minorHAnsi" w:hAnsiTheme="minorHAnsi" w:cstheme="minorHAnsi"/>
          <w:b/>
          <w:noProof/>
          <w:lang w:val="el-GR"/>
        </w:rPr>
        <w:t>1</w:t>
      </w:r>
      <w:r w:rsidR="000F129A">
        <w:rPr>
          <w:rFonts w:asciiTheme="minorHAnsi" w:hAnsiTheme="minorHAnsi" w:cstheme="minorHAnsi"/>
          <w:b/>
          <w:noProof/>
          <w:lang w:val="el-GR"/>
        </w:rPr>
        <w:t>1</w:t>
      </w:r>
      <w:r w:rsidR="00BA23A0" w:rsidRPr="00BA23A0">
        <w:rPr>
          <w:rFonts w:asciiTheme="minorHAnsi" w:hAnsiTheme="minorHAnsi" w:cstheme="minorHAnsi"/>
          <w:b/>
          <w:noProof/>
          <w:lang w:val="el-GR"/>
        </w:rPr>
        <w:t xml:space="preserve">/2020 </w:t>
      </w:r>
      <w:r w:rsidR="00752A0E" w:rsidRPr="00752A0E">
        <w:rPr>
          <w:rFonts w:asciiTheme="minorHAnsi" w:hAnsiTheme="minorHAnsi" w:cstheme="minorHAnsi"/>
          <w:b/>
          <w:noProof/>
          <w:lang w:val="el-GR"/>
        </w:rPr>
        <w:t xml:space="preserve">και ώρα </w:t>
      </w:r>
      <w:r w:rsidR="00FD2299" w:rsidRPr="00752A0E">
        <w:rPr>
          <w:rFonts w:asciiTheme="minorHAnsi" w:hAnsiTheme="minorHAnsi" w:cstheme="minorHAnsi"/>
          <w:b/>
          <w:noProof/>
          <w:lang w:val="el-GR"/>
        </w:rPr>
        <w:t xml:space="preserve"> </w:t>
      </w:r>
      <w:r w:rsidR="00FC0D0F" w:rsidRPr="00FC0D0F">
        <w:rPr>
          <w:rFonts w:asciiTheme="minorHAnsi" w:hAnsiTheme="minorHAnsi" w:cstheme="minorHAnsi"/>
          <w:b/>
          <w:noProof/>
          <w:lang w:val="el-GR"/>
        </w:rPr>
        <w:t xml:space="preserve">10:00 </w:t>
      </w:r>
      <w:r w:rsidR="00FC0D0F">
        <w:rPr>
          <w:rFonts w:asciiTheme="minorHAnsi" w:hAnsiTheme="minorHAnsi" w:cstheme="minorHAnsi"/>
          <w:b/>
          <w:noProof/>
          <w:lang w:val="el-GR"/>
        </w:rPr>
        <w:t>π.μ.</w:t>
      </w:r>
    </w:p>
    <w:p w14:paraId="0FF4E262" w14:textId="676C6610" w:rsidR="00002B1B" w:rsidRPr="003667AB" w:rsidRDefault="00752A0E" w:rsidP="002B19B2">
      <w:pPr>
        <w:jc w:val="both"/>
        <w:rPr>
          <w:rFonts w:cs="Calibri"/>
          <w:lang w:val="el-GR"/>
        </w:rPr>
      </w:pPr>
      <w:r>
        <w:rPr>
          <w:rFonts w:cs="Calibri"/>
          <w:lang w:val="el-GR"/>
        </w:rPr>
        <w:t xml:space="preserve">Μοναδικός Αριθμός Ηλεκτρονικού Πλειστηριασμού </w:t>
      </w:r>
      <w:r w:rsidRPr="003667AB">
        <w:rPr>
          <w:rFonts w:cs="Calibri"/>
          <w:lang w:val="el-GR"/>
        </w:rPr>
        <w:t xml:space="preserve">: </w:t>
      </w:r>
      <w:r w:rsidR="002A19D1">
        <w:rPr>
          <w:rFonts w:ascii="Arial" w:hAnsi="Arial" w:cs="Arial"/>
          <w:color w:val="003366"/>
          <w:sz w:val="20"/>
          <w:szCs w:val="20"/>
          <w:shd w:val="clear" w:color="auto" w:fill="ECEDEF"/>
        </w:rPr>
        <w:t>KUJ14D2SML</w:t>
      </w:r>
      <w:bookmarkStart w:id="0" w:name="_GoBack"/>
      <w:bookmarkEnd w:id="0"/>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276"/>
        <w:gridCol w:w="1276"/>
        <w:gridCol w:w="1843"/>
        <w:gridCol w:w="1417"/>
        <w:gridCol w:w="1985"/>
        <w:gridCol w:w="992"/>
        <w:gridCol w:w="1564"/>
      </w:tblGrid>
      <w:tr w:rsidR="002830B2" w:rsidRPr="002830B2" w14:paraId="77411E00" w14:textId="77777777" w:rsidTr="00E67942">
        <w:trPr>
          <w:jc w:val="center"/>
        </w:trPr>
        <w:tc>
          <w:tcPr>
            <w:tcW w:w="10915" w:type="dxa"/>
            <w:gridSpan w:val="8"/>
            <w:shd w:val="clear" w:color="auto" w:fill="E6E6E6"/>
          </w:tcPr>
          <w:p w14:paraId="409D8D43" w14:textId="77777777" w:rsidR="00002B1B" w:rsidRPr="002830B2" w:rsidRDefault="00002B1B" w:rsidP="005042E2">
            <w:pPr>
              <w:spacing w:after="0" w:line="240" w:lineRule="auto"/>
              <w:jc w:val="center"/>
              <w:rPr>
                <w:rFonts w:cs="Calibri"/>
                <w:lang w:val="el-GR"/>
              </w:rPr>
            </w:pPr>
            <w:r w:rsidRPr="002830B2">
              <w:rPr>
                <w:rFonts w:cs="Calibri"/>
                <w:b/>
                <w:bCs/>
              </w:rPr>
              <w:t>ΠΕΡΙΓΡΑΦΗ ΑΚΙΝΗΤΗΣ ΙΔΙΟΚΤΗΣΙΑΣ</w:t>
            </w:r>
          </w:p>
        </w:tc>
      </w:tr>
      <w:tr w:rsidR="002830B2" w:rsidRPr="00D44035" w14:paraId="1F2E544F" w14:textId="77777777" w:rsidTr="00B1561F">
        <w:trPr>
          <w:trHeight w:val="704"/>
          <w:jc w:val="center"/>
        </w:trPr>
        <w:tc>
          <w:tcPr>
            <w:tcW w:w="562" w:type="dxa"/>
            <w:vMerge w:val="restart"/>
            <w:shd w:val="clear" w:color="auto" w:fill="E6E6E6"/>
          </w:tcPr>
          <w:p w14:paraId="1828DDF7" w14:textId="77777777" w:rsidR="00002B1B" w:rsidRPr="002830B2" w:rsidRDefault="00002B1B" w:rsidP="005042E2">
            <w:pPr>
              <w:spacing w:after="0" w:line="240" w:lineRule="auto"/>
              <w:rPr>
                <w:rFonts w:cs="Calibri"/>
                <w:b/>
                <w:sz w:val="21"/>
                <w:szCs w:val="21"/>
                <w:lang w:val="el-GR"/>
              </w:rPr>
            </w:pPr>
            <w:r w:rsidRPr="002830B2">
              <w:rPr>
                <w:rFonts w:cs="Calibri"/>
                <w:b/>
                <w:sz w:val="21"/>
                <w:szCs w:val="21"/>
                <w:lang w:val="el-GR"/>
              </w:rPr>
              <w:t>α/α</w:t>
            </w:r>
          </w:p>
        </w:tc>
        <w:tc>
          <w:tcPr>
            <w:tcW w:w="1276" w:type="dxa"/>
            <w:vMerge w:val="restart"/>
            <w:shd w:val="clear" w:color="auto" w:fill="E6E6E6"/>
          </w:tcPr>
          <w:p w14:paraId="72D7F8DC" w14:textId="77777777" w:rsidR="00002B1B" w:rsidRPr="002830B2" w:rsidRDefault="00002B1B" w:rsidP="00975C9A">
            <w:pPr>
              <w:rPr>
                <w:rFonts w:cs="Calibri"/>
              </w:rPr>
            </w:pPr>
            <w:r w:rsidRPr="002830B2">
              <w:rPr>
                <w:rFonts w:cs="Calibri"/>
                <w:b/>
                <w:bCs/>
              </w:rPr>
              <w:t>Αριθμός Εγγραφής</w:t>
            </w:r>
          </w:p>
        </w:tc>
        <w:tc>
          <w:tcPr>
            <w:tcW w:w="1276" w:type="dxa"/>
            <w:vMerge w:val="restart"/>
            <w:shd w:val="clear" w:color="auto" w:fill="E6E6E6"/>
          </w:tcPr>
          <w:p w14:paraId="62730F99" w14:textId="77777777" w:rsidR="00002B1B" w:rsidRPr="002830B2" w:rsidRDefault="00002B1B" w:rsidP="005042E2">
            <w:pPr>
              <w:spacing w:after="0" w:line="240" w:lineRule="auto"/>
              <w:rPr>
                <w:rFonts w:cs="Calibri"/>
                <w:b/>
                <w:bCs/>
                <w:lang w:val="el-GR"/>
              </w:rPr>
            </w:pPr>
            <w:r w:rsidRPr="002830B2">
              <w:rPr>
                <w:rFonts w:cs="Calibri"/>
                <w:b/>
                <w:bCs/>
                <w:lang w:val="el-GR"/>
              </w:rPr>
              <w:t>Αριθμός Φύλλου/</w:t>
            </w:r>
          </w:p>
          <w:p w14:paraId="732A4E33" w14:textId="77777777" w:rsidR="00002B1B" w:rsidRPr="002830B2" w:rsidRDefault="00002B1B" w:rsidP="005042E2">
            <w:pPr>
              <w:spacing w:after="0" w:line="240" w:lineRule="auto"/>
              <w:rPr>
                <w:rFonts w:cs="Calibri"/>
                <w:b/>
                <w:lang w:val="el-GR"/>
              </w:rPr>
            </w:pPr>
            <w:r w:rsidRPr="002830B2">
              <w:rPr>
                <w:rFonts w:cs="Calibri"/>
                <w:b/>
                <w:bCs/>
                <w:lang w:val="el-GR"/>
              </w:rPr>
              <w:t>Σχεδίου και Αρ. Τεμαχίου</w:t>
            </w:r>
          </w:p>
        </w:tc>
        <w:tc>
          <w:tcPr>
            <w:tcW w:w="1843" w:type="dxa"/>
            <w:vMerge w:val="restart"/>
            <w:shd w:val="clear" w:color="auto" w:fill="E6E6E6"/>
          </w:tcPr>
          <w:p w14:paraId="3906F0C4" w14:textId="77777777" w:rsidR="00002B1B" w:rsidRPr="002830B2" w:rsidRDefault="00002B1B" w:rsidP="00975C9A">
            <w:pPr>
              <w:rPr>
                <w:rFonts w:cs="Calibri"/>
              </w:rPr>
            </w:pPr>
            <w:r w:rsidRPr="002830B2">
              <w:rPr>
                <w:rFonts w:cs="Calibri"/>
                <w:b/>
                <w:bCs/>
              </w:rPr>
              <w:t>Δήμος/</w:t>
            </w:r>
            <w:r w:rsidRPr="002830B2">
              <w:rPr>
                <w:rFonts w:cs="Calibri"/>
                <w:b/>
                <w:bCs/>
                <w:lang w:val="el-GR"/>
              </w:rPr>
              <w:t xml:space="preserve"> </w:t>
            </w:r>
            <w:r w:rsidR="00882AB5">
              <w:rPr>
                <w:rFonts w:cs="Calibri"/>
                <w:b/>
                <w:bCs/>
                <w:lang w:val="el-GR"/>
              </w:rPr>
              <w:t>Ε</w:t>
            </w:r>
            <w:r w:rsidRPr="002830B2">
              <w:rPr>
                <w:rFonts w:cs="Calibri"/>
                <w:b/>
                <w:bCs/>
              </w:rPr>
              <w:t>νορία/ Κοινότητα</w:t>
            </w:r>
          </w:p>
        </w:tc>
        <w:tc>
          <w:tcPr>
            <w:tcW w:w="1417" w:type="dxa"/>
            <w:vMerge w:val="restart"/>
            <w:shd w:val="clear" w:color="auto" w:fill="E6E6E6"/>
          </w:tcPr>
          <w:p w14:paraId="5A4F5AF4" w14:textId="77777777" w:rsidR="00002B1B" w:rsidRPr="002830B2" w:rsidRDefault="00002B1B" w:rsidP="005042E2">
            <w:pPr>
              <w:spacing w:after="0" w:line="240" w:lineRule="auto"/>
              <w:rPr>
                <w:rFonts w:cs="Calibri"/>
                <w:b/>
              </w:rPr>
            </w:pPr>
            <w:r w:rsidRPr="002830B2">
              <w:rPr>
                <w:rFonts w:cs="Calibri"/>
                <w:b/>
                <w:bCs/>
              </w:rPr>
              <w:t>Τοποθεσί</w:t>
            </w:r>
            <w:r w:rsidRPr="002830B2">
              <w:rPr>
                <w:rFonts w:cs="Calibri"/>
                <w:b/>
                <w:bCs/>
                <w:lang w:val="el-GR"/>
              </w:rPr>
              <w:t>α</w:t>
            </w:r>
            <w:r w:rsidR="00882AB5">
              <w:rPr>
                <w:rFonts w:cs="Calibri"/>
                <w:b/>
                <w:bCs/>
              </w:rPr>
              <w:t xml:space="preserve"> ή Ο</w:t>
            </w:r>
            <w:r w:rsidRPr="002830B2">
              <w:rPr>
                <w:rFonts w:cs="Calibri"/>
                <w:b/>
                <w:bCs/>
              </w:rPr>
              <w:t>δός</w:t>
            </w:r>
          </w:p>
        </w:tc>
        <w:tc>
          <w:tcPr>
            <w:tcW w:w="2977" w:type="dxa"/>
            <w:gridSpan w:val="2"/>
            <w:shd w:val="clear" w:color="auto" w:fill="E6E6E6"/>
          </w:tcPr>
          <w:p w14:paraId="316134FB" w14:textId="77777777" w:rsidR="00002B1B" w:rsidRPr="002830B2" w:rsidRDefault="00002B1B" w:rsidP="00975C9A">
            <w:pPr>
              <w:rPr>
                <w:rFonts w:cs="Calibri"/>
                <w:lang w:val="el-GR"/>
              </w:rPr>
            </w:pPr>
            <w:r w:rsidRPr="002830B2">
              <w:rPr>
                <w:rFonts w:cs="Calibri"/>
                <w:b/>
                <w:bCs/>
                <w:lang w:val="el-GR"/>
              </w:rPr>
              <w:t xml:space="preserve">Λεπτομέρειες του ακινήτου </w:t>
            </w:r>
          </w:p>
          <w:p w14:paraId="793A6210" w14:textId="77777777" w:rsidR="00002B1B" w:rsidRPr="002830B2" w:rsidRDefault="00002B1B" w:rsidP="005042E2">
            <w:pPr>
              <w:spacing w:after="0" w:line="240" w:lineRule="auto"/>
              <w:rPr>
                <w:rFonts w:cs="Calibri"/>
                <w:b/>
                <w:lang w:val="el-GR"/>
              </w:rPr>
            </w:pPr>
          </w:p>
        </w:tc>
        <w:tc>
          <w:tcPr>
            <w:tcW w:w="1564" w:type="dxa"/>
            <w:vMerge w:val="restart"/>
            <w:shd w:val="clear" w:color="auto" w:fill="E6E6E6"/>
          </w:tcPr>
          <w:p w14:paraId="4FD0FAB2" w14:textId="77777777" w:rsidR="00002B1B" w:rsidRPr="002830B2" w:rsidRDefault="00002B1B" w:rsidP="005042E2">
            <w:pPr>
              <w:spacing w:after="0" w:line="240" w:lineRule="auto"/>
              <w:rPr>
                <w:rFonts w:cs="Calibri"/>
                <w:b/>
                <w:lang w:val="el-GR"/>
              </w:rPr>
            </w:pPr>
            <w:r w:rsidRPr="002830B2">
              <w:rPr>
                <w:rFonts w:cs="Calibri"/>
                <w:b/>
                <w:bCs/>
                <w:lang w:val="el-GR"/>
              </w:rPr>
              <w:t>Εγγεγραμμένο συμφέρον που θα πωληθεί</w:t>
            </w:r>
          </w:p>
        </w:tc>
      </w:tr>
      <w:tr w:rsidR="00274C66" w:rsidRPr="002830B2" w14:paraId="0223406A" w14:textId="77777777" w:rsidTr="00B1561F">
        <w:trPr>
          <w:jc w:val="center"/>
        </w:trPr>
        <w:tc>
          <w:tcPr>
            <w:tcW w:w="562" w:type="dxa"/>
            <w:vMerge/>
          </w:tcPr>
          <w:p w14:paraId="4F6525C7" w14:textId="77777777" w:rsidR="00002B1B" w:rsidRPr="002830B2" w:rsidRDefault="00002B1B" w:rsidP="005042E2">
            <w:pPr>
              <w:spacing w:after="0" w:line="240" w:lineRule="auto"/>
              <w:rPr>
                <w:rFonts w:cs="Calibri"/>
                <w:b/>
                <w:lang w:val="el-GR"/>
              </w:rPr>
            </w:pPr>
          </w:p>
        </w:tc>
        <w:tc>
          <w:tcPr>
            <w:tcW w:w="1276" w:type="dxa"/>
            <w:vMerge/>
          </w:tcPr>
          <w:p w14:paraId="76671D47" w14:textId="77777777" w:rsidR="00002B1B" w:rsidRPr="002830B2" w:rsidRDefault="00002B1B" w:rsidP="005042E2">
            <w:pPr>
              <w:spacing w:after="0" w:line="240" w:lineRule="auto"/>
              <w:rPr>
                <w:rFonts w:cs="Calibri"/>
                <w:b/>
                <w:lang w:val="el-GR"/>
              </w:rPr>
            </w:pPr>
          </w:p>
        </w:tc>
        <w:tc>
          <w:tcPr>
            <w:tcW w:w="1276" w:type="dxa"/>
            <w:vMerge/>
          </w:tcPr>
          <w:p w14:paraId="6CDB32C3" w14:textId="77777777" w:rsidR="00002B1B" w:rsidRPr="002830B2" w:rsidRDefault="00002B1B" w:rsidP="005042E2">
            <w:pPr>
              <w:spacing w:after="0" w:line="240" w:lineRule="auto"/>
              <w:rPr>
                <w:rFonts w:cs="Calibri"/>
                <w:b/>
                <w:lang w:val="el-GR"/>
              </w:rPr>
            </w:pPr>
          </w:p>
        </w:tc>
        <w:tc>
          <w:tcPr>
            <w:tcW w:w="1843" w:type="dxa"/>
            <w:vMerge/>
          </w:tcPr>
          <w:p w14:paraId="30375A5A" w14:textId="77777777" w:rsidR="00002B1B" w:rsidRPr="002830B2" w:rsidRDefault="00002B1B" w:rsidP="005042E2">
            <w:pPr>
              <w:spacing w:after="0" w:line="240" w:lineRule="auto"/>
              <w:rPr>
                <w:rFonts w:cs="Calibri"/>
                <w:b/>
                <w:lang w:val="el-GR"/>
              </w:rPr>
            </w:pPr>
          </w:p>
        </w:tc>
        <w:tc>
          <w:tcPr>
            <w:tcW w:w="1417" w:type="dxa"/>
            <w:vMerge/>
          </w:tcPr>
          <w:p w14:paraId="5691FDBE" w14:textId="77777777" w:rsidR="00002B1B" w:rsidRPr="002830B2" w:rsidRDefault="00002B1B" w:rsidP="005042E2">
            <w:pPr>
              <w:spacing w:after="0" w:line="240" w:lineRule="auto"/>
              <w:rPr>
                <w:rFonts w:cs="Calibri"/>
                <w:b/>
                <w:lang w:val="el-GR"/>
              </w:rPr>
            </w:pPr>
          </w:p>
        </w:tc>
        <w:tc>
          <w:tcPr>
            <w:tcW w:w="1985" w:type="dxa"/>
            <w:shd w:val="clear" w:color="auto" w:fill="E6E6E6"/>
          </w:tcPr>
          <w:p w14:paraId="39C05411" w14:textId="77777777" w:rsidR="00002B1B" w:rsidRPr="002830B2" w:rsidRDefault="00002B1B" w:rsidP="005042E2">
            <w:pPr>
              <w:spacing w:after="0" w:line="240" w:lineRule="auto"/>
              <w:rPr>
                <w:rFonts w:cs="Calibri"/>
                <w:b/>
                <w:lang w:val="el-GR"/>
              </w:rPr>
            </w:pPr>
            <w:r w:rsidRPr="002830B2">
              <w:rPr>
                <w:rFonts w:cs="Calibri"/>
                <w:b/>
                <w:lang w:val="el-GR"/>
              </w:rPr>
              <w:t>Είδος</w:t>
            </w:r>
          </w:p>
        </w:tc>
        <w:tc>
          <w:tcPr>
            <w:tcW w:w="992" w:type="dxa"/>
            <w:shd w:val="clear" w:color="auto" w:fill="E6E6E6"/>
          </w:tcPr>
          <w:p w14:paraId="2265D530" w14:textId="77777777" w:rsidR="00002B1B" w:rsidRPr="002830B2" w:rsidRDefault="00002B1B" w:rsidP="005042E2">
            <w:pPr>
              <w:spacing w:after="0" w:line="240" w:lineRule="auto"/>
              <w:rPr>
                <w:rFonts w:cs="Calibri"/>
                <w:b/>
                <w:lang w:val="el-GR"/>
              </w:rPr>
            </w:pPr>
            <w:r w:rsidRPr="002830B2">
              <w:rPr>
                <w:rFonts w:cs="Calibri"/>
                <w:b/>
                <w:lang w:val="el-GR"/>
              </w:rPr>
              <w:t>Έκταση τ.μ</w:t>
            </w:r>
            <w:r w:rsidR="00882AB5">
              <w:rPr>
                <w:rFonts w:cs="Calibri"/>
                <w:b/>
                <w:lang w:val="el-GR"/>
              </w:rPr>
              <w:t>.</w:t>
            </w:r>
          </w:p>
        </w:tc>
        <w:tc>
          <w:tcPr>
            <w:tcW w:w="1564" w:type="dxa"/>
            <w:vMerge/>
          </w:tcPr>
          <w:p w14:paraId="37B05114" w14:textId="77777777" w:rsidR="00002B1B" w:rsidRPr="002830B2" w:rsidRDefault="00002B1B" w:rsidP="005042E2">
            <w:pPr>
              <w:spacing w:after="0" w:line="240" w:lineRule="auto"/>
              <w:rPr>
                <w:rFonts w:cs="Calibri"/>
                <w:b/>
                <w:lang w:val="el-GR"/>
              </w:rPr>
            </w:pPr>
          </w:p>
        </w:tc>
      </w:tr>
      <w:tr w:rsidR="001B2B64" w:rsidRPr="00E67942" w14:paraId="3AEEAEF0" w14:textId="77777777" w:rsidTr="00B1561F">
        <w:trPr>
          <w:trHeight w:val="1345"/>
          <w:jc w:val="center"/>
        </w:trPr>
        <w:tc>
          <w:tcPr>
            <w:tcW w:w="562" w:type="dxa"/>
          </w:tcPr>
          <w:p w14:paraId="1D6AD550" w14:textId="59DB47D9" w:rsidR="001B2B64" w:rsidRPr="00BA23A0" w:rsidRDefault="001B2B64" w:rsidP="001B2B64">
            <w:pPr>
              <w:spacing w:after="0" w:line="240" w:lineRule="auto"/>
              <w:rPr>
                <w:rFonts w:cs="Calibri"/>
                <w:b/>
              </w:rPr>
            </w:pPr>
            <w:r>
              <w:rPr>
                <w:rFonts w:cs="Calibri"/>
                <w:b/>
              </w:rPr>
              <w:t>1.</w:t>
            </w:r>
          </w:p>
        </w:tc>
        <w:tc>
          <w:tcPr>
            <w:tcW w:w="1276" w:type="dxa"/>
          </w:tcPr>
          <w:p w14:paraId="26861763" w14:textId="16DE37DD" w:rsidR="001B2B64" w:rsidRPr="007E222E" w:rsidRDefault="000652F6" w:rsidP="00B1561F">
            <w:pPr>
              <w:spacing w:after="0" w:line="240" w:lineRule="auto"/>
              <w:jc w:val="center"/>
              <w:rPr>
                <w:rFonts w:cs="Calibri"/>
                <w:b/>
                <w:lang w:val="el-GR"/>
              </w:rPr>
            </w:pPr>
            <w:r>
              <w:rPr>
                <w:rFonts w:cs="Calibri"/>
                <w:b/>
                <w:lang w:val="el-GR"/>
              </w:rPr>
              <w:t>0/</w:t>
            </w:r>
            <w:r w:rsidR="00D44035">
              <w:rPr>
                <w:rFonts w:cs="Calibri"/>
                <w:b/>
                <w:lang w:val="el-GR"/>
              </w:rPr>
              <w:t>13786</w:t>
            </w:r>
          </w:p>
        </w:tc>
        <w:tc>
          <w:tcPr>
            <w:tcW w:w="1276" w:type="dxa"/>
          </w:tcPr>
          <w:p w14:paraId="74603C2C" w14:textId="0025F99D" w:rsidR="001B2B64" w:rsidRDefault="00D44035" w:rsidP="007623E9">
            <w:pPr>
              <w:spacing w:after="0" w:line="240" w:lineRule="auto"/>
              <w:jc w:val="center"/>
              <w:rPr>
                <w:rFonts w:cs="Calibri"/>
                <w:b/>
                <w:lang w:val="el-GR"/>
              </w:rPr>
            </w:pPr>
            <w:r>
              <w:rPr>
                <w:rFonts w:cs="Calibri"/>
                <w:b/>
                <w:lang w:val="el-GR"/>
              </w:rPr>
              <w:t>2-210-343</w:t>
            </w:r>
          </w:p>
          <w:p w14:paraId="013BF9B9" w14:textId="7118FEF6" w:rsidR="007E222E" w:rsidRPr="00584F72" w:rsidRDefault="00D44035" w:rsidP="007623E9">
            <w:pPr>
              <w:spacing w:after="0" w:line="240" w:lineRule="auto"/>
              <w:jc w:val="center"/>
              <w:rPr>
                <w:rFonts w:cs="Calibri"/>
                <w:b/>
                <w:lang w:val="el-GR"/>
              </w:rPr>
            </w:pPr>
            <w:r>
              <w:rPr>
                <w:rFonts w:cs="Calibri"/>
                <w:b/>
                <w:lang w:val="el-GR"/>
              </w:rPr>
              <w:t>503</w:t>
            </w:r>
          </w:p>
        </w:tc>
        <w:tc>
          <w:tcPr>
            <w:tcW w:w="1843" w:type="dxa"/>
          </w:tcPr>
          <w:p w14:paraId="63B64A4E" w14:textId="77777777" w:rsidR="00B1561F" w:rsidRDefault="000652F6" w:rsidP="001B2B64">
            <w:pPr>
              <w:spacing w:after="0" w:line="240" w:lineRule="auto"/>
              <w:rPr>
                <w:rFonts w:cs="Calibri"/>
                <w:b/>
                <w:noProof/>
                <w:lang w:val="el-GR"/>
              </w:rPr>
            </w:pPr>
            <w:r>
              <w:rPr>
                <w:rFonts w:cs="Calibri"/>
                <w:b/>
                <w:noProof/>
                <w:lang w:val="el-GR"/>
              </w:rPr>
              <w:t>ΛΕΜΕΣΟΣ</w:t>
            </w:r>
          </w:p>
          <w:p w14:paraId="74E7EFFE" w14:textId="090ED350" w:rsidR="000652F6" w:rsidRPr="00882AB5" w:rsidRDefault="00D44035" w:rsidP="001B2B64">
            <w:pPr>
              <w:spacing w:after="0" w:line="240" w:lineRule="auto"/>
              <w:rPr>
                <w:rFonts w:cs="Calibri"/>
                <w:b/>
                <w:noProof/>
                <w:lang w:val="el-GR"/>
              </w:rPr>
            </w:pPr>
            <w:r>
              <w:rPr>
                <w:rFonts w:cs="Calibri"/>
                <w:b/>
                <w:noProof/>
                <w:lang w:val="el-GR"/>
              </w:rPr>
              <w:t>ΑΓΙΟΣ ΤΥΧΩΝ</w:t>
            </w:r>
          </w:p>
        </w:tc>
        <w:tc>
          <w:tcPr>
            <w:tcW w:w="1417" w:type="dxa"/>
          </w:tcPr>
          <w:p w14:paraId="00EECF8D" w14:textId="750D82F3" w:rsidR="000652F6" w:rsidRPr="002830B2" w:rsidRDefault="00D44035" w:rsidP="001B2B64">
            <w:pPr>
              <w:spacing w:after="0" w:line="240" w:lineRule="auto"/>
              <w:rPr>
                <w:rFonts w:cs="Calibri"/>
                <w:b/>
                <w:lang w:val="el-GR"/>
              </w:rPr>
            </w:pPr>
            <w:r>
              <w:rPr>
                <w:rFonts w:cs="Calibri"/>
                <w:b/>
                <w:lang w:val="el-GR"/>
              </w:rPr>
              <w:t>ΚΟΡΦΗ</w:t>
            </w:r>
          </w:p>
        </w:tc>
        <w:tc>
          <w:tcPr>
            <w:tcW w:w="1985" w:type="dxa"/>
          </w:tcPr>
          <w:p w14:paraId="78933243" w14:textId="5B467D8E" w:rsidR="001B2B64" w:rsidRDefault="007E222E" w:rsidP="001B2B64">
            <w:pPr>
              <w:spacing w:after="0" w:line="240" w:lineRule="auto"/>
              <w:rPr>
                <w:rFonts w:cs="Calibri"/>
                <w:b/>
                <w:noProof/>
                <w:lang w:val="el-GR"/>
              </w:rPr>
            </w:pPr>
            <w:r>
              <w:rPr>
                <w:rFonts w:cs="Calibri"/>
                <w:b/>
                <w:noProof/>
                <w:lang w:val="el-GR"/>
              </w:rPr>
              <w:t>ΧΩΡΑΦΙ</w:t>
            </w:r>
          </w:p>
          <w:p w14:paraId="649CFF01" w14:textId="23834E61" w:rsidR="001B2B64" w:rsidRPr="002830B2" w:rsidRDefault="001B2B64" w:rsidP="00D44035">
            <w:pPr>
              <w:spacing w:after="0" w:line="240" w:lineRule="auto"/>
              <w:rPr>
                <w:rFonts w:cs="Calibri"/>
                <w:b/>
                <w:noProof/>
                <w:lang w:val="el-GR"/>
              </w:rPr>
            </w:pPr>
          </w:p>
        </w:tc>
        <w:tc>
          <w:tcPr>
            <w:tcW w:w="992" w:type="dxa"/>
          </w:tcPr>
          <w:p w14:paraId="75EFBEB3" w14:textId="32A9B5A7" w:rsidR="001B2B64" w:rsidRPr="002830B2" w:rsidRDefault="00D44035" w:rsidP="001B2B64">
            <w:pPr>
              <w:spacing w:after="0" w:line="240" w:lineRule="auto"/>
              <w:rPr>
                <w:rFonts w:cs="Calibri"/>
                <w:b/>
                <w:lang w:val="el-GR"/>
              </w:rPr>
            </w:pPr>
            <w:r>
              <w:rPr>
                <w:rFonts w:cs="Calibri"/>
                <w:b/>
                <w:lang w:val="el-GR"/>
              </w:rPr>
              <w:t>19443</w:t>
            </w:r>
          </w:p>
        </w:tc>
        <w:tc>
          <w:tcPr>
            <w:tcW w:w="1564" w:type="dxa"/>
          </w:tcPr>
          <w:p w14:paraId="0973CF91" w14:textId="691A1057" w:rsidR="001B2B64" w:rsidRPr="00E67942" w:rsidRDefault="001B2B64" w:rsidP="001B2B64">
            <w:pPr>
              <w:spacing w:after="0" w:line="240" w:lineRule="auto"/>
              <w:rPr>
                <w:rFonts w:cs="Calibri"/>
                <w:b/>
                <w:lang w:val="el-GR"/>
              </w:rPr>
            </w:pPr>
            <w:r>
              <w:rPr>
                <w:rFonts w:cs="Calibri"/>
                <w:b/>
                <w:lang w:val="el-GR"/>
              </w:rPr>
              <w:t>1/</w:t>
            </w:r>
            <w:r w:rsidR="00527CDF">
              <w:rPr>
                <w:rFonts w:cs="Calibri"/>
                <w:b/>
                <w:lang w:val="el-GR"/>
              </w:rPr>
              <w:t>1</w:t>
            </w:r>
          </w:p>
        </w:tc>
      </w:tr>
      <w:tr w:rsidR="002830B2" w:rsidRPr="00D44035" w14:paraId="09DFFB61" w14:textId="77777777" w:rsidTr="00E67942">
        <w:trPr>
          <w:jc w:val="center"/>
        </w:trPr>
        <w:tc>
          <w:tcPr>
            <w:tcW w:w="10915" w:type="dxa"/>
            <w:gridSpan w:val="8"/>
          </w:tcPr>
          <w:p w14:paraId="71BA0F0B" w14:textId="3A45C07E" w:rsidR="00002B1B" w:rsidRPr="002830B2" w:rsidRDefault="00002B1B" w:rsidP="00752A0E">
            <w:pPr>
              <w:spacing w:after="0" w:line="240" w:lineRule="auto"/>
              <w:rPr>
                <w:rFonts w:cs="Calibri"/>
                <w:b/>
                <w:lang w:val="el-GR"/>
              </w:rPr>
            </w:pPr>
            <w:r w:rsidRPr="002830B2">
              <w:rPr>
                <w:rFonts w:cs="Calibri"/>
                <w:b/>
                <w:lang w:val="el-GR"/>
              </w:rPr>
              <w:t xml:space="preserve">Επιφυλασσόμενη τιμή πώλησης: </w:t>
            </w:r>
            <w:r w:rsidR="00584F72">
              <w:rPr>
                <w:rFonts w:cs="Calibri"/>
                <w:b/>
                <w:lang w:val="el-GR"/>
              </w:rPr>
              <w:t>€</w:t>
            </w:r>
            <w:r w:rsidR="00D44035" w:rsidRPr="00D44035">
              <w:rPr>
                <w:rFonts w:cs="Calibri"/>
                <w:b/>
                <w:lang w:val="el-GR"/>
              </w:rPr>
              <w:t>505</w:t>
            </w:r>
            <w:r w:rsidR="001469BF">
              <w:rPr>
                <w:rFonts w:cs="Calibri"/>
                <w:b/>
                <w:lang w:val="el-GR"/>
              </w:rPr>
              <w:t>.</w:t>
            </w:r>
            <w:r w:rsidR="00D44035" w:rsidRPr="00D44035">
              <w:rPr>
                <w:rFonts w:cs="Calibri"/>
                <w:b/>
                <w:lang w:val="el-GR"/>
              </w:rPr>
              <w:t>6</w:t>
            </w:r>
            <w:r w:rsidR="00B1561F">
              <w:rPr>
                <w:rFonts w:cs="Calibri"/>
                <w:b/>
                <w:lang w:val="el-GR"/>
              </w:rPr>
              <w:t>00</w:t>
            </w:r>
            <w:r w:rsidR="001B2B64">
              <w:rPr>
                <w:rFonts w:cs="Calibri"/>
                <w:b/>
                <w:lang w:val="el-GR"/>
              </w:rPr>
              <w:t xml:space="preserve">,00 </w:t>
            </w:r>
            <w:r w:rsidR="008E162F">
              <w:rPr>
                <w:rFonts w:cs="Calibri"/>
                <w:b/>
                <w:lang w:val="el-GR"/>
              </w:rPr>
              <w:t>(Δεν περιλαμβάνει Φ.Π.Α.)</w:t>
            </w:r>
          </w:p>
        </w:tc>
      </w:tr>
      <w:tr w:rsidR="00752A0E" w:rsidRPr="00D44035" w14:paraId="63FA3C4D" w14:textId="77777777" w:rsidTr="00E67942">
        <w:trPr>
          <w:jc w:val="center"/>
        </w:trPr>
        <w:tc>
          <w:tcPr>
            <w:tcW w:w="10915" w:type="dxa"/>
            <w:gridSpan w:val="8"/>
          </w:tcPr>
          <w:p w14:paraId="70BB7EBE" w14:textId="356F6B0D" w:rsidR="00752A0E" w:rsidRPr="008E162F" w:rsidRDefault="00752A0E" w:rsidP="00752A0E">
            <w:pPr>
              <w:spacing w:after="0" w:line="240" w:lineRule="auto"/>
              <w:rPr>
                <w:rFonts w:cs="Calibri"/>
                <w:b/>
                <w:lang w:val="el-GR"/>
              </w:rPr>
            </w:pPr>
            <w:r>
              <w:rPr>
                <w:rFonts w:cs="Calibri"/>
                <w:b/>
                <w:lang w:val="el-GR"/>
              </w:rPr>
              <w:t>Ποσό Εγγύησης</w:t>
            </w:r>
            <w:r w:rsidRPr="008E162F">
              <w:rPr>
                <w:rFonts w:cs="Calibri"/>
                <w:b/>
                <w:lang w:val="el-GR"/>
              </w:rPr>
              <w:t>:</w:t>
            </w:r>
            <w:r w:rsidR="00584F72">
              <w:rPr>
                <w:rFonts w:cs="Calibri"/>
                <w:b/>
                <w:lang w:val="el-GR"/>
              </w:rPr>
              <w:t xml:space="preserve"> €</w:t>
            </w:r>
            <w:r w:rsidR="000652F6">
              <w:rPr>
                <w:rFonts w:cs="Calibri"/>
                <w:b/>
                <w:lang w:val="el-GR"/>
              </w:rPr>
              <w:t>5</w:t>
            </w:r>
            <w:r w:rsidR="00D44035" w:rsidRPr="00D44035">
              <w:rPr>
                <w:rFonts w:cs="Calibri"/>
                <w:b/>
                <w:lang w:val="el-GR"/>
              </w:rPr>
              <w:t>0</w:t>
            </w:r>
            <w:r w:rsidR="00527CDF">
              <w:rPr>
                <w:rFonts w:cs="Calibri"/>
                <w:b/>
                <w:lang w:val="el-GR"/>
              </w:rPr>
              <w:t>.</w:t>
            </w:r>
            <w:r w:rsidR="00D44035" w:rsidRPr="00D44035">
              <w:rPr>
                <w:rFonts w:cs="Calibri"/>
                <w:b/>
                <w:lang w:val="el-GR"/>
              </w:rPr>
              <w:t>560</w:t>
            </w:r>
            <w:r w:rsidR="001B2B64">
              <w:rPr>
                <w:rFonts w:cs="Calibri"/>
                <w:b/>
                <w:lang w:val="el-GR"/>
              </w:rPr>
              <w:t xml:space="preserve">,00 </w:t>
            </w:r>
            <w:r w:rsidR="008E162F">
              <w:rPr>
                <w:rFonts w:cs="Calibri"/>
                <w:b/>
                <w:lang w:val="el-GR"/>
              </w:rPr>
              <w:t>(Δεν περιλαμβάνει Φ.Π.Α.)</w:t>
            </w:r>
          </w:p>
        </w:tc>
      </w:tr>
    </w:tbl>
    <w:p w14:paraId="11E84ACA" w14:textId="77777777" w:rsidR="00002B1B" w:rsidRPr="002830B2" w:rsidRDefault="00002B1B" w:rsidP="00416808">
      <w:pPr>
        <w:pStyle w:val="Default"/>
        <w:ind w:left="360"/>
        <w:jc w:val="both"/>
        <w:rPr>
          <w:rFonts w:ascii="Calibri" w:hAnsi="Calibri" w:cs="Calibri"/>
          <w:color w:val="auto"/>
          <w:sz w:val="22"/>
          <w:szCs w:val="22"/>
          <w:lang w:val="el-GR"/>
        </w:rPr>
      </w:pPr>
    </w:p>
    <w:p w14:paraId="1789E1AE" w14:textId="77777777" w:rsidR="00002B1B" w:rsidRDefault="00002B1B" w:rsidP="00975C9A">
      <w:pPr>
        <w:pStyle w:val="Default"/>
        <w:numPr>
          <w:ilvl w:val="0"/>
          <w:numId w:val="1"/>
        </w:numPr>
        <w:jc w:val="both"/>
        <w:rPr>
          <w:rFonts w:ascii="Calibri" w:hAnsi="Calibri" w:cs="Calibri"/>
          <w:color w:val="auto"/>
          <w:sz w:val="22"/>
          <w:szCs w:val="22"/>
          <w:lang w:val="el-GR"/>
        </w:rPr>
      </w:pPr>
      <w:r w:rsidRPr="002830B2">
        <w:rPr>
          <w:rFonts w:ascii="Calibri" w:hAnsi="Calibri" w:cs="Calibri"/>
          <w:color w:val="auto"/>
          <w:sz w:val="22"/>
          <w:szCs w:val="22"/>
          <w:lang w:val="el-GR"/>
        </w:rPr>
        <w:t xml:space="preserve">Το ακίνητο δεν θα παραδοθεί αν δεν καλυφθεί η επιφυλαχθείσα τιμή πώλησης. </w:t>
      </w:r>
    </w:p>
    <w:p w14:paraId="1FA38FD4" w14:textId="77777777" w:rsidR="00CA6366" w:rsidRPr="002830B2" w:rsidRDefault="00CA6366" w:rsidP="00CA6366">
      <w:pPr>
        <w:pStyle w:val="Default"/>
        <w:ind w:left="360"/>
        <w:jc w:val="both"/>
        <w:rPr>
          <w:rFonts w:ascii="Calibri" w:hAnsi="Calibri" w:cs="Calibri"/>
          <w:color w:val="auto"/>
          <w:sz w:val="22"/>
          <w:szCs w:val="22"/>
          <w:lang w:val="el-GR"/>
        </w:rPr>
      </w:pPr>
    </w:p>
    <w:p w14:paraId="60D173A8" w14:textId="77777777" w:rsidR="00752A0E" w:rsidRDefault="00002B1B" w:rsidP="00483014">
      <w:pPr>
        <w:pStyle w:val="Default"/>
        <w:numPr>
          <w:ilvl w:val="0"/>
          <w:numId w:val="1"/>
        </w:numPr>
        <w:jc w:val="both"/>
        <w:rPr>
          <w:rFonts w:ascii="Calibri" w:hAnsi="Calibri" w:cs="Calibri"/>
          <w:color w:val="auto"/>
          <w:sz w:val="22"/>
          <w:szCs w:val="22"/>
          <w:lang w:val="el-GR"/>
        </w:rPr>
      </w:pPr>
      <w:r w:rsidRPr="00752A0E">
        <w:rPr>
          <w:rFonts w:ascii="Calibri" w:hAnsi="Calibri" w:cs="Calibri"/>
          <w:color w:val="auto"/>
          <w:sz w:val="22"/>
          <w:szCs w:val="22"/>
          <w:lang w:val="el-GR"/>
        </w:rPr>
        <w:t xml:space="preserve">Το συμφέρον στο/α πιο πάνω ακίνητο/α προσφέρεται/προσφέρονται στην πώληση χωρίς περισσότερες εγγυήσεις σχετικά με την ύπαρξη, το είδος ή την έκταση του ακινήτου ή με το δικαίωμα που έχει ο ενυπόθηκος/εξ αποφάσεως οφειλέτης. </w:t>
      </w:r>
    </w:p>
    <w:p w14:paraId="5E4EE459" w14:textId="77777777" w:rsidR="00CA6366" w:rsidRDefault="00CA6366" w:rsidP="00CA6366">
      <w:pPr>
        <w:pStyle w:val="Default"/>
        <w:jc w:val="both"/>
        <w:rPr>
          <w:rFonts w:ascii="Calibri" w:hAnsi="Calibri" w:cs="Calibri"/>
          <w:color w:val="auto"/>
          <w:sz w:val="22"/>
          <w:szCs w:val="22"/>
          <w:lang w:val="el-GR"/>
        </w:rPr>
      </w:pPr>
    </w:p>
    <w:p w14:paraId="139B0EE4" w14:textId="77777777" w:rsidR="00DB2E78" w:rsidRDefault="00CA6366" w:rsidP="00CA6366">
      <w:pPr>
        <w:pStyle w:val="Default"/>
        <w:numPr>
          <w:ilvl w:val="0"/>
          <w:numId w:val="1"/>
        </w:numPr>
        <w:jc w:val="both"/>
        <w:rPr>
          <w:rFonts w:ascii="Calibri" w:hAnsi="Calibri" w:cs="Calibri"/>
          <w:color w:val="auto"/>
          <w:sz w:val="22"/>
          <w:szCs w:val="22"/>
          <w:lang w:val="el-GR"/>
        </w:rPr>
      </w:pPr>
      <w:r>
        <w:rPr>
          <w:rFonts w:ascii="Calibri" w:hAnsi="Calibri" w:cs="Calibri"/>
          <w:color w:val="auto"/>
          <w:sz w:val="22"/>
          <w:szCs w:val="22"/>
          <w:lang w:val="el-GR"/>
        </w:rPr>
        <w:t>Ο Ψ</w:t>
      </w:r>
      <w:r w:rsidR="00752A0E">
        <w:rPr>
          <w:rFonts w:ascii="Calibri" w:hAnsi="Calibri" w:cs="Calibri"/>
          <w:color w:val="auto"/>
          <w:sz w:val="22"/>
          <w:szCs w:val="22"/>
          <w:lang w:val="el-GR"/>
        </w:rPr>
        <w:t>ηλότερος Προσφοροδότης πρέπει να έχει</w:t>
      </w:r>
      <w:r w:rsidR="00002B1B" w:rsidRPr="00752A0E">
        <w:rPr>
          <w:rFonts w:ascii="Calibri" w:hAnsi="Calibri" w:cs="Calibri"/>
          <w:color w:val="auto"/>
          <w:sz w:val="22"/>
          <w:szCs w:val="22"/>
          <w:lang w:val="el-GR"/>
        </w:rPr>
        <w:t xml:space="preserve"> υπόψη του ότι, </w:t>
      </w:r>
      <w:r>
        <w:rPr>
          <w:rFonts w:ascii="Calibri" w:hAnsi="Calibri" w:cs="Calibri"/>
          <w:color w:val="auto"/>
          <w:sz w:val="22"/>
          <w:szCs w:val="22"/>
          <w:lang w:val="el-GR"/>
        </w:rPr>
        <w:t xml:space="preserve">το </w:t>
      </w:r>
      <w:r w:rsidR="00002B1B" w:rsidRPr="00752A0E">
        <w:rPr>
          <w:rFonts w:ascii="Calibri" w:hAnsi="Calibri" w:cs="Calibri"/>
          <w:color w:val="auto"/>
          <w:sz w:val="22"/>
          <w:szCs w:val="22"/>
          <w:lang w:val="el-GR"/>
        </w:rPr>
        <w:t>υπόλοιπο από το τίμημα πώλησης</w:t>
      </w:r>
      <w:r>
        <w:rPr>
          <w:rFonts w:ascii="Calibri" w:hAnsi="Calibri" w:cs="Calibri"/>
          <w:color w:val="auto"/>
          <w:sz w:val="22"/>
          <w:szCs w:val="22"/>
          <w:lang w:val="el-GR"/>
        </w:rPr>
        <w:t xml:space="preserve"> (αποδεχόμενης τιμής προσφοράς με το ποσό της εγγύησης) </w:t>
      </w:r>
      <w:r w:rsidR="00002B1B" w:rsidRPr="00752A0E">
        <w:rPr>
          <w:rFonts w:ascii="Calibri" w:hAnsi="Calibri" w:cs="Calibri"/>
          <w:color w:val="auto"/>
          <w:sz w:val="22"/>
          <w:szCs w:val="22"/>
          <w:lang w:val="el-GR"/>
        </w:rPr>
        <w:t xml:space="preserve"> πρέπει να πληρωθεί στον ενυπόθηκο δανειστή, διαφορετικά </w:t>
      </w:r>
      <w:r>
        <w:rPr>
          <w:rFonts w:ascii="Calibri" w:hAnsi="Calibri" w:cs="Calibri"/>
          <w:color w:val="auto"/>
          <w:sz w:val="22"/>
          <w:szCs w:val="22"/>
          <w:lang w:val="el-GR"/>
        </w:rPr>
        <w:t>χάνει</w:t>
      </w:r>
      <w:r w:rsidR="00002B1B" w:rsidRPr="00752A0E">
        <w:rPr>
          <w:rFonts w:ascii="Calibri" w:hAnsi="Calibri" w:cs="Calibri"/>
          <w:color w:val="auto"/>
          <w:sz w:val="22"/>
          <w:szCs w:val="22"/>
          <w:lang w:val="el-GR"/>
        </w:rPr>
        <w:t xml:space="preserve"> το ποσό της </w:t>
      </w:r>
      <w:r>
        <w:rPr>
          <w:rFonts w:ascii="Calibri" w:hAnsi="Calibri" w:cs="Calibri"/>
          <w:color w:val="auto"/>
          <w:sz w:val="22"/>
          <w:szCs w:val="22"/>
          <w:lang w:val="el-GR"/>
        </w:rPr>
        <w:t>εγγύησης</w:t>
      </w:r>
      <w:r w:rsidR="00002B1B" w:rsidRPr="00752A0E">
        <w:rPr>
          <w:rFonts w:ascii="Calibri" w:hAnsi="Calibri" w:cs="Calibri"/>
          <w:color w:val="auto"/>
          <w:sz w:val="22"/>
          <w:szCs w:val="22"/>
          <w:lang w:val="el-GR"/>
        </w:rPr>
        <w:t xml:space="preserve"> και </w:t>
      </w:r>
      <w:r>
        <w:rPr>
          <w:rFonts w:ascii="Calibri" w:hAnsi="Calibri" w:cs="Calibri"/>
          <w:color w:val="auto"/>
          <w:sz w:val="22"/>
          <w:szCs w:val="22"/>
          <w:lang w:val="el-GR"/>
        </w:rPr>
        <w:t>έχει</w:t>
      </w:r>
      <w:r w:rsidR="00002B1B" w:rsidRPr="00752A0E">
        <w:rPr>
          <w:rFonts w:ascii="Calibri" w:hAnsi="Calibri" w:cs="Calibri"/>
          <w:color w:val="auto"/>
          <w:sz w:val="22"/>
          <w:szCs w:val="22"/>
          <w:lang w:val="el-GR"/>
        </w:rPr>
        <w:t xml:space="preserve"> ευθύνη για κάθε ζημιά που πιθανόν να υπάρξει σε κατοπινή πώληση.</w:t>
      </w:r>
    </w:p>
    <w:p w14:paraId="3E96EB2A" w14:textId="77777777" w:rsidR="00446DFD" w:rsidRDefault="00446DFD" w:rsidP="002B19B2">
      <w:pPr>
        <w:spacing w:after="0" w:line="240" w:lineRule="auto"/>
        <w:jc w:val="both"/>
        <w:rPr>
          <w:rFonts w:cs="Calibri"/>
          <w:lang w:val="el-GR"/>
        </w:rPr>
      </w:pPr>
    </w:p>
    <w:p w14:paraId="2B5B7D75" w14:textId="7534F26A" w:rsidR="001F41ED" w:rsidRDefault="001F41ED" w:rsidP="00274C66">
      <w:pPr>
        <w:pStyle w:val="ListParagraph"/>
        <w:numPr>
          <w:ilvl w:val="0"/>
          <w:numId w:val="1"/>
        </w:numPr>
        <w:spacing w:after="0" w:line="240" w:lineRule="auto"/>
        <w:jc w:val="both"/>
        <w:rPr>
          <w:rFonts w:cs="Calibri"/>
          <w:lang w:val="el-GR"/>
        </w:rPr>
      </w:pPr>
      <w:r>
        <w:rPr>
          <w:rFonts w:cs="Calibri"/>
          <w:lang w:val="el-GR"/>
        </w:rPr>
        <w:t xml:space="preserve">Οι πλειοδότες θα πρέπει να έχουν υπόψη τους ότι, σε περιπτώσεις όπου ενδέχεται να προκύπτει Φ.Π.Α., το οποιοδήποτε κατακυρωθέν τίμημα πώλησης δεν θα περιλαμβάνει το ποσό του Φ.Π.Α. Το ποσό αυτό θα είναι πληρωτέο επιπρόσθετα από το τίμημα πώλησης και θα βαρύνει τον αγοραστή. </w:t>
      </w:r>
    </w:p>
    <w:p w14:paraId="3B770D97" w14:textId="77777777" w:rsidR="001B2B64" w:rsidRPr="007623E9" w:rsidRDefault="001B2B64" w:rsidP="007623E9">
      <w:pPr>
        <w:spacing w:after="0" w:line="240" w:lineRule="auto"/>
        <w:jc w:val="both"/>
        <w:rPr>
          <w:rFonts w:cs="Calibri"/>
          <w:lang w:val="el-GR"/>
        </w:rPr>
      </w:pPr>
    </w:p>
    <w:p w14:paraId="3C2272A3" w14:textId="228CBEF8" w:rsidR="00527CDF" w:rsidRDefault="000F129A" w:rsidP="001469BF">
      <w:pPr>
        <w:spacing w:after="0" w:line="240" w:lineRule="auto"/>
        <w:jc w:val="both"/>
        <w:rPr>
          <w:rFonts w:cs="Calibri"/>
          <w:lang w:val="el-GR"/>
        </w:rPr>
      </w:pPr>
      <w:r>
        <w:rPr>
          <w:rFonts w:cs="Calibri"/>
          <w:lang w:val="el-GR"/>
        </w:rPr>
        <w:t xml:space="preserve">       </w:t>
      </w:r>
    </w:p>
    <w:p w14:paraId="1094A179" w14:textId="77777777" w:rsidR="00527CDF" w:rsidRDefault="00527CDF" w:rsidP="00527CDF">
      <w:pPr>
        <w:spacing w:after="0" w:line="240" w:lineRule="auto"/>
        <w:ind w:left="284" w:hanging="284"/>
        <w:jc w:val="both"/>
        <w:rPr>
          <w:rFonts w:cs="Calibri"/>
          <w:lang w:val="el-GR"/>
        </w:rPr>
      </w:pPr>
    </w:p>
    <w:p w14:paraId="5CF64AAE" w14:textId="35C19811" w:rsidR="007623E9" w:rsidRPr="00CC3821" w:rsidRDefault="00527CDF" w:rsidP="00527CDF">
      <w:pPr>
        <w:spacing w:after="100" w:afterAutospacing="1"/>
        <w:jc w:val="both"/>
        <w:rPr>
          <w:rFonts w:cs="Calibri"/>
          <w:lang w:val="el-GR"/>
        </w:rPr>
      </w:pPr>
      <w:r w:rsidRPr="00690ED3">
        <w:rPr>
          <w:rFonts w:cs="Calibri"/>
          <w:lang w:val="el-GR"/>
        </w:rPr>
        <w:t xml:space="preserve">      </w:t>
      </w:r>
      <w:r w:rsidRPr="002830B2">
        <w:rPr>
          <w:rFonts w:cs="Calibri"/>
          <w:lang w:val="el-GR"/>
        </w:rPr>
        <w:t xml:space="preserve">Ημερομηνία: </w:t>
      </w:r>
      <w:r w:rsidRPr="00D61662">
        <w:rPr>
          <w:rFonts w:cs="Calibri"/>
          <w:lang w:val="el-GR"/>
        </w:rPr>
        <w:t>1</w:t>
      </w:r>
      <w:r w:rsidR="000A3038">
        <w:rPr>
          <w:rFonts w:cs="Calibri"/>
        </w:rPr>
        <w:t>6</w:t>
      </w:r>
      <w:r>
        <w:rPr>
          <w:rFonts w:cs="Calibri"/>
          <w:lang w:val="el-GR"/>
        </w:rPr>
        <w:t>.0</w:t>
      </w:r>
      <w:r w:rsidRPr="0015798A">
        <w:rPr>
          <w:rFonts w:cs="Calibri"/>
          <w:lang w:val="el-GR"/>
        </w:rPr>
        <w:t>7</w:t>
      </w:r>
      <w:r>
        <w:rPr>
          <w:rFonts w:cs="Calibri"/>
          <w:lang w:val="el-GR"/>
        </w:rPr>
        <w:t>.2020</w:t>
      </w:r>
    </w:p>
    <w:sectPr w:rsidR="007623E9" w:rsidRPr="00CC3821" w:rsidSect="00527CDF">
      <w:pgSz w:w="12240" w:h="15840"/>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522C" w14:textId="77777777" w:rsidR="00B85AA6" w:rsidRDefault="00B85AA6" w:rsidP="001A4E14">
      <w:pPr>
        <w:spacing w:after="0" w:line="240" w:lineRule="auto"/>
      </w:pPr>
      <w:r>
        <w:separator/>
      </w:r>
    </w:p>
  </w:endnote>
  <w:endnote w:type="continuationSeparator" w:id="0">
    <w:p w14:paraId="74D5A122" w14:textId="77777777" w:rsidR="00B85AA6" w:rsidRDefault="00B85AA6" w:rsidP="001A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1EC3C" w14:textId="77777777" w:rsidR="00B85AA6" w:rsidRDefault="00B85AA6" w:rsidP="001A4E14">
      <w:pPr>
        <w:spacing w:after="0" w:line="240" w:lineRule="auto"/>
      </w:pPr>
      <w:r>
        <w:separator/>
      </w:r>
    </w:p>
  </w:footnote>
  <w:footnote w:type="continuationSeparator" w:id="0">
    <w:p w14:paraId="79F2BCA5" w14:textId="77777777" w:rsidR="00B85AA6" w:rsidRDefault="00B85AA6" w:rsidP="001A4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97094"/>
    <w:multiLevelType w:val="hybridMultilevel"/>
    <w:tmpl w:val="51D8345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2AD0314D"/>
    <w:multiLevelType w:val="hybridMultilevel"/>
    <w:tmpl w:val="20024044"/>
    <w:lvl w:ilvl="0" w:tplc="9EB649CA">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992"/>
    <w:rsid w:val="00002B1B"/>
    <w:rsid w:val="0001461E"/>
    <w:rsid w:val="000253CE"/>
    <w:rsid w:val="00025873"/>
    <w:rsid w:val="00037B58"/>
    <w:rsid w:val="000526F7"/>
    <w:rsid w:val="00053C26"/>
    <w:rsid w:val="00055953"/>
    <w:rsid w:val="00056A7F"/>
    <w:rsid w:val="000652F6"/>
    <w:rsid w:val="000663BF"/>
    <w:rsid w:val="0007133C"/>
    <w:rsid w:val="0007343E"/>
    <w:rsid w:val="00075F2E"/>
    <w:rsid w:val="000978AA"/>
    <w:rsid w:val="000A3038"/>
    <w:rsid w:val="000A6485"/>
    <w:rsid w:val="000F129A"/>
    <w:rsid w:val="00114E06"/>
    <w:rsid w:val="001469BF"/>
    <w:rsid w:val="001616B4"/>
    <w:rsid w:val="001732AA"/>
    <w:rsid w:val="00183BD4"/>
    <w:rsid w:val="00187A69"/>
    <w:rsid w:val="00191417"/>
    <w:rsid w:val="001A4E14"/>
    <w:rsid w:val="001B29B9"/>
    <w:rsid w:val="001B2B64"/>
    <w:rsid w:val="001C454C"/>
    <w:rsid w:val="001C4BFD"/>
    <w:rsid w:val="001D04D4"/>
    <w:rsid w:val="001D30EC"/>
    <w:rsid w:val="001D4B99"/>
    <w:rsid w:val="001E5B4D"/>
    <w:rsid w:val="001F3B0B"/>
    <w:rsid w:val="001F41ED"/>
    <w:rsid w:val="001F4DED"/>
    <w:rsid w:val="00200ACD"/>
    <w:rsid w:val="00205960"/>
    <w:rsid w:val="0021107E"/>
    <w:rsid w:val="002119DB"/>
    <w:rsid w:val="00214529"/>
    <w:rsid w:val="00222524"/>
    <w:rsid w:val="00271784"/>
    <w:rsid w:val="00274C66"/>
    <w:rsid w:val="002809FB"/>
    <w:rsid w:val="002830B2"/>
    <w:rsid w:val="0028651B"/>
    <w:rsid w:val="0029079C"/>
    <w:rsid w:val="002A092A"/>
    <w:rsid w:val="002A19D1"/>
    <w:rsid w:val="002B110F"/>
    <w:rsid w:val="002B19B2"/>
    <w:rsid w:val="002D6BC1"/>
    <w:rsid w:val="002E0711"/>
    <w:rsid w:val="002E145C"/>
    <w:rsid w:val="00322473"/>
    <w:rsid w:val="003347F7"/>
    <w:rsid w:val="003422B0"/>
    <w:rsid w:val="003435F0"/>
    <w:rsid w:val="003667AB"/>
    <w:rsid w:val="00371471"/>
    <w:rsid w:val="003974EF"/>
    <w:rsid w:val="003A4EF2"/>
    <w:rsid w:val="003A5EA0"/>
    <w:rsid w:val="003A7564"/>
    <w:rsid w:val="003B4322"/>
    <w:rsid w:val="003C66D0"/>
    <w:rsid w:val="003D0E30"/>
    <w:rsid w:val="00402ABF"/>
    <w:rsid w:val="0040335F"/>
    <w:rsid w:val="00406064"/>
    <w:rsid w:val="00416808"/>
    <w:rsid w:val="00434BC8"/>
    <w:rsid w:val="004453CA"/>
    <w:rsid w:val="00446DFD"/>
    <w:rsid w:val="00463134"/>
    <w:rsid w:val="00470884"/>
    <w:rsid w:val="00473B79"/>
    <w:rsid w:val="004875BA"/>
    <w:rsid w:val="0049231C"/>
    <w:rsid w:val="00492A9C"/>
    <w:rsid w:val="004A3379"/>
    <w:rsid w:val="004A3BC3"/>
    <w:rsid w:val="004C0920"/>
    <w:rsid w:val="004C50E1"/>
    <w:rsid w:val="004E0511"/>
    <w:rsid w:val="00500788"/>
    <w:rsid w:val="005042E2"/>
    <w:rsid w:val="00512BF5"/>
    <w:rsid w:val="0052484B"/>
    <w:rsid w:val="005261B0"/>
    <w:rsid w:val="00527CDF"/>
    <w:rsid w:val="0054376B"/>
    <w:rsid w:val="00547CB0"/>
    <w:rsid w:val="00551C46"/>
    <w:rsid w:val="0057694D"/>
    <w:rsid w:val="00581620"/>
    <w:rsid w:val="005820BE"/>
    <w:rsid w:val="00584F72"/>
    <w:rsid w:val="00586FEF"/>
    <w:rsid w:val="005913F6"/>
    <w:rsid w:val="0059681E"/>
    <w:rsid w:val="005A5A9F"/>
    <w:rsid w:val="005B7AE4"/>
    <w:rsid w:val="005C57C5"/>
    <w:rsid w:val="005D6B89"/>
    <w:rsid w:val="005E4D20"/>
    <w:rsid w:val="00607863"/>
    <w:rsid w:val="00613A3F"/>
    <w:rsid w:val="00616B75"/>
    <w:rsid w:val="006173D8"/>
    <w:rsid w:val="00625651"/>
    <w:rsid w:val="00625992"/>
    <w:rsid w:val="006414A9"/>
    <w:rsid w:val="00641C94"/>
    <w:rsid w:val="006578C4"/>
    <w:rsid w:val="00664E01"/>
    <w:rsid w:val="00665655"/>
    <w:rsid w:val="006664A1"/>
    <w:rsid w:val="00685AF8"/>
    <w:rsid w:val="00690ED3"/>
    <w:rsid w:val="006B5974"/>
    <w:rsid w:val="006C6147"/>
    <w:rsid w:val="006D6C5D"/>
    <w:rsid w:val="0071214B"/>
    <w:rsid w:val="00720C51"/>
    <w:rsid w:val="007326C6"/>
    <w:rsid w:val="007412A3"/>
    <w:rsid w:val="00752A0E"/>
    <w:rsid w:val="00760632"/>
    <w:rsid w:val="007623E9"/>
    <w:rsid w:val="007644DE"/>
    <w:rsid w:val="0077451F"/>
    <w:rsid w:val="007C3945"/>
    <w:rsid w:val="007C71AE"/>
    <w:rsid w:val="007D429A"/>
    <w:rsid w:val="007E222E"/>
    <w:rsid w:val="007E5A60"/>
    <w:rsid w:val="007F1C9F"/>
    <w:rsid w:val="00821228"/>
    <w:rsid w:val="008652AA"/>
    <w:rsid w:val="008662B5"/>
    <w:rsid w:val="0087447E"/>
    <w:rsid w:val="00882AB5"/>
    <w:rsid w:val="00885ECE"/>
    <w:rsid w:val="00886514"/>
    <w:rsid w:val="00891EA5"/>
    <w:rsid w:val="008B7790"/>
    <w:rsid w:val="008C5C6C"/>
    <w:rsid w:val="008E162F"/>
    <w:rsid w:val="008E7609"/>
    <w:rsid w:val="008F0C7E"/>
    <w:rsid w:val="00901CF2"/>
    <w:rsid w:val="0091180B"/>
    <w:rsid w:val="00914013"/>
    <w:rsid w:val="00923737"/>
    <w:rsid w:val="00923A9D"/>
    <w:rsid w:val="00925338"/>
    <w:rsid w:val="0093263C"/>
    <w:rsid w:val="00964C92"/>
    <w:rsid w:val="00975C76"/>
    <w:rsid w:val="00975C9A"/>
    <w:rsid w:val="00976C44"/>
    <w:rsid w:val="009919A3"/>
    <w:rsid w:val="00992029"/>
    <w:rsid w:val="009940EE"/>
    <w:rsid w:val="00994F8B"/>
    <w:rsid w:val="009A3F80"/>
    <w:rsid w:val="009D088E"/>
    <w:rsid w:val="009D7C6D"/>
    <w:rsid w:val="009F1583"/>
    <w:rsid w:val="00A07914"/>
    <w:rsid w:val="00A269F5"/>
    <w:rsid w:val="00A318F2"/>
    <w:rsid w:val="00A53333"/>
    <w:rsid w:val="00A72377"/>
    <w:rsid w:val="00A816B7"/>
    <w:rsid w:val="00A92D53"/>
    <w:rsid w:val="00AA7BED"/>
    <w:rsid w:val="00B024F9"/>
    <w:rsid w:val="00B1561F"/>
    <w:rsid w:val="00B34FC9"/>
    <w:rsid w:val="00B53712"/>
    <w:rsid w:val="00B622AC"/>
    <w:rsid w:val="00B6325A"/>
    <w:rsid w:val="00B713A4"/>
    <w:rsid w:val="00B742C2"/>
    <w:rsid w:val="00B85AA6"/>
    <w:rsid w:val="00B94088"/>
    <w:rsid w:val="00BA23A0"/>
    <w:rsid w:val="00BA5852"/>
    <w:rsid w:val="00BA5FE7"/>
    <w:rsid w:val="00BB15EF"/>
    <w:rsid w:val="00BB7455"/>
    <w:rsid w:val="00BC7392"/>
    <w:rsid w:val="00BD3579"/>
    <w:rsid w:val="00BD3BBA"/>
    <w:rsid w:val="00BD4A50"/>
    <w:rsid w:val="00C00137"/>
    <w:rsid w:val="00C06E50"/>
    <w:rsid w:val="00C07210"/>
    <w:rsid w:val="00C07C84"/>
    <w:rsid w:val="00C102C9"/>
    <w:rsid w:val="00C1545E"/>
    <w:rsid w:val="00C172AC"/>
    <w:rsid w:val="00C3042C"/>
    <w:rsid w:val="00C46ECD"/>
    <w:rsid w:val="00C70D8A"/>
    <w:rsid w:val="00C81F2C"/>
    <w:rsid w:val="00C834E4"/>
    <w:rsid w:val="00CA6366"/>
    <w:rsid w:val="00CA673F"/>
    <w:rsid w:val="00CC3821"/>
    <w:rsid w:val="00CD2850"/>
    <w:rsid w:val="00CE6BD3"/>
    <w:rsid w:val="00CF3DB1"/>
    <w:rsid w:val="00CF7B20"/>
    <w:rsid w:val="00D05A15"/>
    <w:rsid w:val="00D104DD"/>
    <w:rsid w:val="00D10E83"/>
    <w:rsid w:val="00D11934"/>
    <w:rsid w:val="00D14553"/>
    <w:rsid w:val="00D15A74"/>
    <w:rsid w:val="00D22136"/>
    <w:rsid w:val="00D2244D"/>
    <w:rsid w:val="00D2327D"/>
    <w:rsid w:val="00D2338B"/>
    <w:rsid w:val="00D26C8F"/>
    <w:rsid w:val="00D30678"/>
    <w:rsid w:val="00D44035"/>
    <w:rsid w:val="00D61662"/>
    <w:rsid w:val="00D66149"/>
    <w:rsid w:val="00DA5974"/>
    <w:rsid w:val="00DB2E78"/>
    <w:rsid w:val="00DC5A04"/>
    <w:rsid w:val="00DD2D23"/>
    <w:rsid w:val="00DD56EC"/>
    <w:rsid w:val="00DE18B6"/>
    <w:rsid w:val="00DF0D61"/>
    <w:rsid w:val="00E132C1"/>
    <w:rsid w:val="00E22D1A"/>
    <w:rsid w:val="00E62E9C"/>
    <w:rsid w:val="00E6565B"/>
    <w:rsid w:val="00E67942"/>
    <w:rsid w:val="00E731B7"/>
    <w:rsid w:val="00E73928"/>
    <w:rsid w:val="00E77D68"/>
    <w:rsid w:val="00E81FA6"/>
    <w:rsid w:val="00EC506B"/>
    <w:rsid w:val="00ED2FB9"/>
    <w:rsid w:val="00EF7987"/>
    <w:rsid w:val="00F16C5F"/>
    <w:rsid w:val="00F310CB"/>
    <w:rsid w:val="00F348C3"/>
    <w:rsid w:val="00F376F3"/>
    <w:rsid w:val="00F37D87"/>
    <w:rsid w:val="00F40296"/>
    <w:rsid w:val="00F6088A"/>
    <w:rsid w:val="00F62BCC"/>
    <w:rsid w:val="00F6665A"/>
    <w:rsid w:val="00F74159"/>
    <w:rsid w:val="00F76371"/>
    <w:rsid w:val="00F848EA"/>
    <w:rsid w:val="00F93D9D"/>
    <w:rsid w:val="00F94DB9"/>
    <w:rsid w:val="00F978E3"/>
    <w:rsid w:val="00FB319A"/>
    <w:rsid w:val="00FB3F1A"/>
    <w:rsid w:val="00FC0D0F"/>
    <w:rsid w:val="00FC7ABA"/>
    <w:rsid w:val="00FD2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507AE"/>
  <w15:docId w15:val="{3E84037A-0D6D-4008-A6D6-9F09DD34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07914"/>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625992"/>
    <w:pPr>
      <w:spacing w:before="100" w:beforeAutospacing="1" w:after="100" w:afterAutospacing="1" w:line="240" w:lineRule="auto"/>
    </w:pPr>
    <w:rPr>
      <w:rFonts w:ascii="Times New Roman" w:eastAsia="Calibri" w:hAnsi="Times New Roman"/>
      <w:sz w:val="24"/>
      <w:szCs w:val="24"/>
    </w:rPr>
  </w:style>
  <w:style w:type="character" w:styleId="Strong">
    <w:name w:val="Strong"/>
    <w:qFormat/>
    <w:rsid w:val="00625992"/>
    <w:rPr>
      <w:rFonts w:cs="Times New Roman"/>
      <w:b/>
      <w:bCs/>
    </w:rPr>
  </w:style>
  <w:style w:type="table" w:styleId="TableGrid">
    <w:name w:val="Table Grid"/>
    <w:basedOn w:val="TableNormal"/>
    <w:uiPriority w:val="39"/>
    <w:rsid w:val="00975C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5C9A"/>
    <w:pPr>
      <w:autoSpaceDE w:val="0"/>
      <w:autoSpaceDN w:val="0"/>
      <w:adjustRightInd w:val="0"/>
    </w:pPr>
    <w:rPr>
      <w:rFonts w:ascii="Arial" w:eastAsia="Times New Roman" w:hAnsi="Arial" w:cs="Arial"/>
      <w:color w:val="000000"/>
      <w:sz w:val="24"/>
      <w:szCs w:val="24"/>
      <w:lang w:val="en-US" w:eastAsia="en-US"/>
    </w:rPr>
  </w:style>
  <w:style w:type="paragraph" w:styleId="ListParagraph">
    <w:name w:val="List Paragraph"/>
    <w:basedOn w:val="Normal"/>
    <w:qFormat/>
    <w:rsid w:val="00975C9A"/>
    <w:pPr>
      <w:ind w:left="720"/>
      <w:contextualSpacing/>
    </w:pPr>
  </w:style>
  <w:style w:type="paragraph" w:styleId="BalloonText">
    <w:name w:val="Balloon Text"/>
    <w:basedOn w:val="Normal"/>
    <w:link w:val="BalloonTextChar"/>
    <w:rsid w:val="00416808"/>
    <w:pPr>
      <w:spacing w:after="0" w:line="240" w:lineRule="auto"/>
    </w:pPr>
    <w:rPr>
      <w:rFonts w:ascii="Segoe UI" w:hAnsi="Segoe UI" w:cs="Segoe UI"/>
      <w:sz w:val="18"/>
      <w:szCs w:val="18"/>
    </w:rPr>
  </w:style>
  <w:style w:type="character" w:customStyle="1" w:styleId="BalloonTextChar">
    <w:name w:val="Balloon Text Char"/>
    <w:link w:val="BalloonText"/>
    <w:rsid w:val="00416808"/>
    <w:rPr>
      <w:rFonts w:ascii="Segoe UI" w:eastAsia="Times New Roman" w:hAnsi="Segoe UI" w:cs="Segoe UI"/>
      <w:sz w:val="18"/>
      <w:szCs w:val="18"/>
      <w:lang w:val="en-US" w:eastAsia="en-US"/>
    </w:rPr>
  </w:style>
  <w:style w:type="paragraph" w:styleId="NoSpacing">
    <w:name w:val="No Spacing"/>
    <w:uiPriority w:val="1"/>
    <w:qFormat/>
    <w:rsid w:val="005E4D20"/>
    <w:rPr>
      <w:rFonts w:eastAsia="Times New Roman"/>
      <w:sz w:val="22"/>
      <w:szCs w:val="22"/>
      <w:lang w:val="en-US" w:eastAsia="en-US"/>
    </w:rPr>
  </w:style>
  <w:style w:type="paragraph" w:styleId="Header">
    <w:name w:val="header"/>
    <w:basedOn w:val="Normal"/>
    <w:link w:val="HeaderChar"/>
    <w:unhideWhenUsed/>
    <w:rsid w:val="001A4E14"/>
    <w:pPr>
      <w:tabs>
        <w:tab w:val="center" w:pos="4153"/>
        <w:tab w:val="right" w:pos="8306"/>
      </w:tabs>
      <w:spacing w:after="0" w:line="240" w:lineRule="auto"/>
    </w:pPr>
  </w:style>
  <w:style w:type="character" w:customStyle="1" w:styleId="HeaderChar">
    <w:name w:val="Header Char"/>
    <w:basedOn w:val="DefaultParagraphFont"/>
    <w:link w:val="Header"/>
    <w:rsid w:val="001A4E14"/>
    <w:rPr>
      <w:rFonts w:eastAsia="Times New Roman"/>
      <w:sz w:val="22"/>
      <w:szCs w:val="22"/>
      <w:lang w:val="en-US" w:eastAsia="en-US"/>
    </w:rPr>
  </w:style>
  <w:style w:type="paragraph" w:styleId="Footer">
    <w:name w:val="footer"/>
    <w:basedOn w:val="Normal"/>
    <w:link w:val="FooterChar"/>
    <w:unhideWhenUsed/>
    <w:rsid w:val="001A4E14"/>
    <w:pPr>
      <w:tabs>
        <w:tab w:val="center" w:pos="4153"/>
        <w:tab w:val="right" w:pos="8306"/>
      </w:tabs>
      <w:spacing w:after="0" w:line="240" w:lineRule="auto"/>
    </w:pPr>
  </w:style>
  <w:style w:type="character" w:customStyle="1" w:styleId="FooterChar">
    <w:name w:val="Footer Char"/>
    <w:basedOn w:val="DefaultParagraphFont"/>
    <w:link w:val="Footer"/>
    <w:rsid w:val="001A4E14"/>
    <w:rPr>
      <w:rFonts w:eastAsia="Times New Roman"/>
      <w:sz w:val="22"/>
      <w:szCs w:val="22"/>
      <w:lang w:val="en-US" w:eastAsia="en-US"/>
    </w:rPr>
  </w:style>
  <w:style w:type="character" w:styleId="Hyperlink">
    <w:name w:val="Hyperlink"/>
    <w:basedOn w:val="DefaultParagraphFont"/>
    <w:unhideWhenUsed/>
    <w:rsid w:val="002B110F"/>
    <w:rPr>
      <w:color w:val="0563C1" w:themeColor="hyperlink"/>
      <w:u w:val="single"/>
    </w:rPr>
  </w:style>
  <w:style w:type="character" w:customStyle="1" w:styleId="UnresolvedMention1">
    <w:name w:val="Unresolved Mention1"/>
    <w:basedOn w:val="DefaultParagraphFont"/>
    <w:uiPriority w:val="99"/>
    <w:semiHidden/>
    <w:unhideWhenUsed/>
    <w:rsid w:val="002B1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192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92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192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11">
          <w:marLeft w:val="192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auction-c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5B11-F4D3-45D6-9B9B-8335C2339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ΔΕΛΤΙΟ Α</vt:lpstr>
    </vt:vector>
  </TitlesOfParts>
  <Company>BOC</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ΔΕΛΤΙΟ Α</dc:title>
  <dc:subject/>
  <dc:creator>4465</dc:creator>
  <cp:keywords/>
  <cp:lastModifiedBy>MARTHA GEORGIOU</cp:lastModifiedBy>
  <cp:revision>30</cp:revision>
  <cp:lastPrinted>2019-07-19T06:44:00Z</cp:lastPrinted>
  <dcterms:created xsi:type="dcterms:W3CDTF">2019-12-18T09:45:00Z</dcterms:created>
  <dcterms:modified xsi:type="dcterms:W3CDTF">2020-07-16T11:49:00Z</dcterms:modified>
</cp:coreProperties>
</file>